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373E5" w14:textId="77777777" w:rsidR="00B03FFC" w:rsidRDefault="00B03FFC" w:rsidP="0026781B">
      <w:pPr>
        <w:pStyle w:val="Title1"/>
      </w:pPr>
    </w:p>
    <w:p w14:paraId="69D096A0" w14:textId="28971B6A" w:rsidR="0026781B" w:rsidRPr="00F21AED" w:rsidRDefault="00B03FFC" w:rsidP="0026781B">
      <w:pPr>
        <w:pStyle w:val="Title1"/>
      </w:pPr>
      <w:r w:rsidRPr="00B03FFC">
        <w:t>ARMENIA: HARASSMENT OF LAWYERS WORKING ON HIGH-PROFILE CASES</w:t>
      </w:r>
    </w:p>
    <w:p w14:paraId="022F587D" w14:textId="77777777" w:rsidR="0026781B" w:rsidRDefault="0026781B" w:rsidP="0026781B">
      <w:pPr>
        <w:pStyle w:val="BodyText"/>
        <w:rPr>
          <w:b/>
          <w:sz w:val="26"/>
        </w:rPr>
      </w:pPr>
    </w:p>
    <w:p w14:paraId="70B63F4B" w14:textId="77777777" w:rsidR="0026781B" w:rsidRDefault="0026781B" w:rsidP="0026781B">
      <w:pPr>
        <w:pStyle w:val="BodyText"/>
        <w:tabs>
          <w:tab w:val="left" w:pos="0"/>
        </w:tabs>
        <w:spacing w:before="6"/>
        <w:rPr>
          <w:b/>
          <w:sz w:val="38"/>
        </w:rPr>
      </w:pPr>
    </w:p>
    <w:p w14:paraId="1AA72625" w14:textId="2D428EDD" w:rsidR="0026781B" w:rsidRPr="008F1949" w:rsidRDefault="00B03FFC" w:rsidP="0026781B">
      <w:r>
        <w:t>9 August</w:t>
      </w:r>
      <w:r w:rsidR="0026781B" w:rsidRPr="008F1949">
        <w:t xml:space="preserve"> 2016</w:t>
      </w:r>
    </w:p>
    <w:p w14:paraId="196F23B3" w14:textId="77777777" w:rsidR="0026781B" w:rsidRPr="008F1949" w:rsidRDefault="0026781B" w:rsidP="0026781B"/>
    <w:p w14:paraId="6913CA2B" w14:textId="77777777" w:rsidR="00B03FFC" w:rsidRPr="00D16CDC" w:rsidRDefault="00B03FFC" w:rsidP="00B03FFC">
      <w:pPr>
        <w:jc w:val="both"/>
        <w:rPr>
          <w:rFonts w:cs="Calibri"/>
        </w:rPr>
      </w:pPr>
      <w:r w:rsidRPr="00D16CDC">
        <w:rPr>
          <w:rFonts w:cs="Calibri"/>
          <w:bCs/>
        </w:rPr>
        <w:t>We, the undersigned members of the Civic Solidarity Platform (CSP) – a network of human rights NGOs from Europe, the former Soviet Union and North America –</w:t>
      </w:r>
      <w:r w:rsidRPr="00D16CDC">
        <w:rPr>
          <w:rFonts w:cs="Calibri"/>
        </w:rPr>
        <w:t xml:space="preserve"> are seriously concerned that independent defense lawyers working on high-profile cases in Armenia have been subjected to harassment and obstruction by state agents in the performance of their professional duties. We call on the authorities of the country to put an end to this worrying pattern and ensure that all lawyers can carry out their work without hindrance.</w:t>
      </w:r>
    </w:p>
    <w:p w14:paraId="373FB93A" w14:textId="77777777" w:rsidR="00B03FFC" w:rsidRPr="00D16CDC" w:rsidRDefault="00B03FFC" w:rsidP="00B03FFC">
      <w:pPr>
        <w:jc w:val="both"/>
        <w:rPr>
          <w:rFonts w:cs="Calibri"/>
        </w:rPr>
      </w:pPr>
    </w:p>
    <w:p w14:paraId="22B1A53D" w14:textId="77777777" w:rsidR="00B03FFC" w:rsidRPr="00D16CDC" w:rsidRDefault="00B03FFC" w:rsidP="00B03FFC">
      <w:pPr>
        <w:jc w:val="both"/>
        <w:rPr>
          <w:rFonts w:cs="Calibri"/>
        </w:rPr>
      </w:pPr>
      <w:r w:rsidRPr="00D16CDC">
        <w:rPr>
          <w:rFonts w:cs="Calibri"/>
        </w:rPr>
        <w:t xml:space="preserve">The lawyers who have been subjected to pressure are in particular those who defend individuals charged with various serious crimes related to the July 2016 events, when the </w:t>
      </w:r>
      <w:r w:rsidRPr="00D16CDC">
        <w:rPr>
          <w:rStyle w:val="CommentReference"/>
          <w:vanish/>
        </w:rPr>
        <w:commentReference w:id="0"/>
      </w:r>
      <w:r w:rsidRPr="00D16CDC">
        <w:rPr>
          <w:rFonts w:cs="Calibri"/>
        </w:rPr>
        <w:t>armed opposition group Sasna Tsrer seized a police station in Armenia’s capital city of Yerevan. The Sasna Tsrer group demanded the resignation of the president and the release of imprisoned opposition leaders and called on residents to take to the streets to support their demands, a call that was heeded by thousands of people. Police forcefully put down these mass protests.</w:t>
      </w:r>
      <w:r w:rsidRPr="00D16CDC">
        <w:rPr>
          <w:rStyle w:val="EndnoteReference"/>
          <w:rFonts w:cs="Calibri"/>
        </w:rPr>
        <w:endnoteReference w:id="1"/>
      </w:r>
      <w:r w:rsidRPr="00D16CDC">
        <w:rPr>
          <w:rFonts w:cs="Calibri"/>
        </w:rPr>
        <w:t xml:space="preserve"> The seizure of the police station ended after a two-week standoff. According to official information, over 60 people have been prosecuted and will stand trial in relation to these events.</w:t>
      </w:r>
      <w:r w:rsidRPr="00D16CDC">
        <w:rPr>
          <w:rStyle w:val="EndnoteReference"/>
          <w:rFonts w:cs="Calibri"/>
        </w:rPr>
        <w:endnoteReference w:id="2"/>
      </w:r>
      <w:r w:rsidRPr="00D16CDC">
        <w:rPr>
          <w:rFonts w:cs="Calibri"/>
        </w:rPr>
        <w:t xml:space="preserve"> The lawyers working on the Sasna Tsrer cases who have faced harassment include Arayik Papikyan, Mushegh Shushanyan and Nina Karapetyants from the Helsinki Association of Armenia, a CSP member organization. </w:t>
      </w:r>
    </w:p>
    <w:p w14:paraId="141CCD5C" w14:textId="77777777" w:rsidR="00B03FFC" w:rsidRPr="00D16CDC" w:rsidRDefault="00B03FFC" w:rsidP="00B03FFC">
      <w:pPr>
        <w:jc w:val="both"/>
        <w:rPr>
          <w:rFonts w:cs="Calibri"/>
        </w:rPr>
      </w:pPr>
    </w:p>
    <w:p w14:paraId="2FFEFEBE" w14:textId="77777777" w:rsidR="00B03FFC" w:rsidRPr="00D16CDC" w:rsidRDefault="00B03FFC" w:rsidP="00B03FFC">
      <w:pPr>
        <w:jc w:val="both"/>
        <w:rPr>
          <w:rFonts w:cs="Calibri"/>
        </w:rPr>
      </w:pPr>
      <w:r w:rsidRPr="00D16CDC">
        <w:rPr>
          <w:rFonts w:cs="Calibri"/>
        </w:rPr>
        <w:t>According to information available to us</w:t>
      </w:r>
      <w:r w:rsidRPr="00D16CDC">
        <w:rPr>
          <w:rStyle w:val="EndnoteReference"/>
          <w:rFonts w:cs="Calibri"/>
        </w:rPr>
        <w:endnoteReference w:id="3"/>
      </w:r>
      <w:r w:rsidRPr="00D16CDC">
        <w:rPr>
          <w:rFonts w:cs="Calibri"/>
        </w:rPr>
        <w:t>, these and other lawyers working on the Sasna Tsrer and similar high profile cases have been prevented from visiting their clients in detention and denied the opportunity to hold private discussions with them. In other cases, officials at detention facilities have confiscated or destroyed notes from lawyer-client meetings when searching the defendants after the meetings. In this way, the lawyers have been hindered in their efforts to prepare the defense of their clients.</w:t>
      </w:r>
    </w:p>
    <w:p w14:paraId="647F7AF7" w14:textId="77777777" w:rsidR="00B03FFC" w:rsidRPr="00D16CDC" w:rsidRDefault="00B03FFC" w:rsidP="00B03FFC">
      <w:pPr>
        <w:jc w:val="both"/>
        <w:rPr>
          <w:rFonts w:cs="Calibri"/>
        </w:rPr>
      </w:pPr>
    </w:p>
    <w:p w14:paraId="099D3B90" w14:textId="77777777" w:rsidR="00B03FFC" w:rsidRPr="00D16CDC" w:rsidRDefault="00B03FFC" w:rsidP="00B03FFC">
      <w:pPr>
        <w:jc w:val="both"/>
        <w:rPr>
          <w:rFonts w:cs="Calibri"/>
        </w:rPr>
      </w:pPr>
      <w:r w:rsidRPr="00D16CDC">
        <w:rPr>
          <w:rFonts w:cs="Calibri"/>
        </w:rPr>
        <w:t xml:space="preserve">Lawyers working on the Sasna Tsrer and other high-profile cases have also been obstructed in their work in connection with court hearings. Some lawyers have been subjected to lengthy and intrusive security searches when arriving to court. The fact that other participants in the proceedings, such as prosecutors and other lawyers have not had to undergo similar searches suggests that these procedures have been selectively applied. </w:t>
      </w:r>
      <w:bookmarkStart w:id="1" w:name="_Hlk489274069"/>
      <w:r w:rsidRPr="00D16CDC">
        <w:rPr>
          <w:rFonts w:cs="Calibri"/>
        </w:rPr>
        <w:t xml:space="preserve">The lawyers targeted have protested against the searches, considering them unlawful as Armenia’s Law on the Bar (article 21) prohibits searches of lawyers during the direct execution of their professional activities. At the same time, national legislation does not regulate the implementation of security searches, including through the use of technical means such as metal detectors in any detail, which allows for arbitrary actions by court bailiffs. </w:t>
      </w:r>
      <w:bookmarkEnd w:id="1"/>
      <w:r w:rsidRPr="00D16CDC">
        <w:rPr>
          <w:rFonts w:cs="Calibri"/>
        </w:rPr>
        <w:t xml:space="preserve">When lawyers have refused to undergo searches, court bailiffs have accused them of failing to obey lawful requirements and barred them from accessing the courtroom. </w:t>
      </w:r>
    </w:p>
    <w:p w14:paraId="7002B104" w14:textId="77777777" w:rsidR="00B03FFC" w:rsidRPr="00D16CDC" w:rsidRDefault="00B03FFC" w:rsidP="00B03FFC">
      <w:pPr>
        <w:jc w:val="both"/>
        <w:rPr>
          <w:rFonts w:cs="Calibri"/>
        </w:rPr>
      </w:pPr>
    </w:p>
    <w:p w14:paraId="324DDF04" w14:textId="77777777" w:rsidR="00B03FFC" w:rsidRPr="00D16CDC" w:rsidRDefault="00B03FFC" w:rsidP="00B03FFC">
      <w:pPr>
        <w:jc w:val="both"/>
        <w:rPr>
          <w:rFonts w:cs="Calibri"/>
        </w:rPr>
      </w:pPr>
      <w:r w:rsidRPr="00D16CDC">
        <w:rPr>
          <w:rFonts w:cs="Calibri"/>
        </w:rPr>
        <w:lastRenderedPageBreak/>
        <w:t>The absence of the lawyers from the courtroom has, again, resulted in court orders, requesting the country’s Chamber of Advocates to take disciplinary measures against the lawyers. Such court orders have also been issued when lawyers have refused</w:t>
      </w:r>
      <w:r w:rsidRPr="00D16CDC">
        <w:rPr>
          <w:rFonts w:eastAsia="Times New Roman" w:cs="Calibri"/>
        </w:rPr>
        <w:t xml:space="preserve"> to continue to take part in hearings after their clients have been temporarily removed from the courtroom for alleged violations of court regulations. In these instances, the lawyers have not been allowed to plead or file motions, which has prevented them from carrying out their professional duty to defend the interests of their clients. Court-issued requests for disciplinary sanctions have, among others, been issued in relation to Arayik Papikyan, Mushegh Shushanyan and Nina Karapetyants. In addition, the Public Prosecutor’s Office and police have requested the Chamber of </w:t>
      </w:r>
      <w:r w:rsidRPr="00D16CDC">
        <w:rPr>
          <w:rFonts w:cs="Calibri"/>
        </w:rPr>
        <w:t xml:space="preserve">Advocates </w:t>
      </w:r>
      <w:r w:rsidRPr="00D16CDC">
        <w:rPr>
          <w:rFonts w:eastAsia="Times New Roman" w:cs="Calibri"/>
        </w:rPr>
        <w:t xml:space="preserve">to take disciplinary measures against Arayik Papikyan and Mushegh Shushanyan because of comments made by them in social media posts and media interviews regarding irregularities during the ongoing court proceedings, as well as broader developments in Armenia. The Chamber of </w:t>
      </w:r>
      <w:r w:rsidRPr="00D16CDC">
        <w:rPr>
          <w:rFonts w:cs="Calibri"/>
        </w:rPr>
        <w:t xml:space="preserve">Advocates </w:t>
      </w:r>
      <w:r w:rsidRPr="00D16CDC">
        <w:rPr>
          <w:rFonts w:eastAsia="Times New Roman" w:cs="Calibri"/>
        </w:rPr>
        <w:t>has initiated disciplinary proceedings in these cases and the proceedings are currently under way.</w:t>
      </w:r>
      <w:r w:rsidRPr="00D16CDC">
        <w:rPr>
          <w:rFonts w:cs="Calibri"/>
        </w:rPr>
        <w:t xml:space="preserve"> </w:t>
      </w:r>
    </w:p>
    <w:p w14:paraId="707159F7" w14:textId="77777777" w:rsidR="00B03FFC" w:rsidRPr="00D16CDC" w:rsidRDefault="00B03FFC" w:rsidP="00B03FFC">
      <w:pPr>
        <w:jc w:val="both"/>
        <w:rPr>
          <w:rFonts w:cs="Calibri"/>
        </w:rPr>
      </w:pPr>
    </w:p>
    <w:p w14:paraId="47955DCE" w14:textId="77777777" w:rsidR="00B03FFC" w:rsidRPr="00D16CDC" w:rsidRDefault="00B03FFC" w:rsidP="00B03FFC">
      <w:pPr>
        <w:jc w:val="both"/>
        <w:rPr>
          <w:rFonts w:cs="Calibri"/>
        </w:rPr>
      </w:pPr>
      <w:r w:rsidRPr="00D16CDC">
        <w:rPr>
          <w:rFonts w:cs="Calibri"/>
        </w:rPr>
        <w:t xml:space="preserve">In accordance with Armenia’s Law on the Bar (article 39.1), the Chamber of Advocates may initiate disciplinary proceedings against lawyers on the basis of requests by courts or other state bodies over </w:t>
      </w:r>
      <w:r w:rsidRPr="00D16CDC">
        <w:t xml:space="preserve">apparent violations by lawyers of the Law on the Bar or </w:t>
      </w:r>
      <w:r w:rsidRPr="00D16CDC">
        <w:rPr>
          <w:rFonts w:cs="Calibri"/>
        </w:rPr>
        <w:t xml:space="preserve">the Code of Conduct of Advocates. If found guilty, lawyers may be warned, ordered to undergo retraining courses, fined, or deprived of their license to practice law (article 39.9). </w:t>
      </w:r>
    </w:p>
    <w:p w14:paraId="483C7217" w14:textId="77777777" w:rsidR="00B03FFC" w:rsidRPr="00D16CDC" w:rsidRDefault="00B03FFC" w:rsidP="00B03FFC">
      <w:pPr>
        <w:jc w:val="both"/>
        <w:rPr>
          <w:rFonts w:cs="Calibri"/>
        </w:rPr>
      </w:pPr>
    </w:p>
    <w:p w14:paraId="51F1B66B" w14:textId="77777777" w:rsidR="00B03FFC" w:rsidRPr="00D16CDC" w:rsidRDefault="00B03FFC" w:rsidP="00B03FFC">
      <w:pPr>
        <w:jc w:val="both"/>
        <w:rPr>
          <w:rFonts w:cs="Calibri"/>
        </w:rPr>
      </w:pPr>
      <w:r w:rsidRPr="00D16CDC">
        <w:rPr>
          <w:rFonts w:cs="Calibri"/>
        </w:rPr>
        <w:t>It is disturbing that several lawyers are now facing disciplinary proceedings and may be subject to disciplinary sanctions, potentially including disbarment for refusing to comply with arbitrary and unjustified requirements and restrictions by court bailiffs and courts, as well as for exercising their right to freedom of expression. We are also concerned about the impartiality of the disciplinary proceedings, in particular given biased views expressed in media interviews by the chair of the Chamber of Advocates and some members of the board considering the issue of disciplinary measures. It is of further concern that lawyers, with respect to whom courts have repeatedly issued orders requesting disciplinary measures in the course of legal proceedings may be banned from continuing to work on the cases in question. This may result in that the court instead appoints public defenders against the will of the defendants, thereby violating their right to have access to a lawyer of their choice, as protected by Armenia’s Constitution (article 67.2), the European Convention on Human Rights (article 6, part 3</w:t>
      </w:r>
      <w:r w:rsidRPr="00D16CDC">
        <w:rPr>
          <w:rFonts w:cs="Calibri"/>
          <w:lang w:val="ru-RU"/>
        </w:rPr>
        <w:t>с</w:t>
      </w:r>
      <w:r w:rsidRPr="00D16CDC">
        <w:rPr>
          <w:rFonts w:cs="Calibri"/>
        </w:rPr>
        <w:t xml:space="preserve">) and the International Covenant on Civil and Political Rights (article 14, point 3b). </w:t>
      </w:r>
    </w:p>
    <w:p w14:paraId="40F00D73" w14:textId="77777777" w:rsidR="00B03FFC" w:rsidRPr="00D16CDC" w:rsidRDefault="00B03FFC" w:rsidP="00B03FFC">
      <w:pPr>
        <w:jc w:val="both"/>
        <w:rPr>
          <w:rFonts w:eastAsia="Times New Roman" w:cs="Calibri"/>
          <w:color w:val="26282A"/>
          <w:lang w:eastAsia="ru-RU"/>
        </w:rPr>
      </w:pPr>
    </w:p>
    <w:p w14:paraId="5440C1CD" w14:textId="77777777" w:rsidR="00B03FFC" w:rsidRPr="00D16CDC" w:rsidRDefault="00B03FFC" w:rsidP="00B03FFC">
      <w:pPr>
        <w:jc w:val="both"/>
      </w:pPr>
      <w:r w:rsidRPr="00D16CDC">
        <w:rPr>
          <w:rFonts w:cs="Calibri"/>
        </w:rPr>
        <w:t>In this context, we also recall that the UN Basic Principles on the Role of Lawyers</w:t>
      </w:r>
      <w:r w:rsidRPr="00D16CDC">
        <w:rPr>
          <w:rStyle w:val="EndnoteReference"/>
          <w:rFonts w:cs="Calibri"/>
        </w:rPr>
        <w:endnoteReference w:id="4"/>
      </w:r>
      <w:r w:rsidRPr="00D16CDC">
        <w:rPr>
          <w:rFonts w:cs="Calibri"/>
        </w:rPr>
        <w:t xml:space="preserve"> set out g</w:t>
      </w:r>
      <w:r w:rsidRPr="00D16CDC">
        <w:t xml:space="preserve">overnments shall ensure that lawyers are able to perform their professional functions without intimidation, hindrance, harassment or improper interference, and that they are not identified with their clients or their clients' causes as a result of discharging their functions. These principles, further, provide that governments shall respect the confidentiality of lawyer-client communications and consultations and ensure that detainees have adequate opportunities, time and facilities to receive visits and be consulted by lawyers, without delay, interception or censorship. According to the principles, lawyers may not be denied the right to appear before courts on behalf of their clients unless they have been disqualified in full conformity with the principles. Any disciplinary hearings against lawyers should be held before an impartial body and be subject to an independent judicial review, and lawyers should not suffer sanctions for any action taken in accordance with recognized professional duties, standards and ethics. The </w:t>
      </w:r>
      <w:r w:rsidRPr="00D16CDC">
        <w:lastRenderedPageBreak/>
        <w:t>principles also stress that lawyers have the right to take part in public discussion of matters concerning the law, the administration of justice and the protection of human rights without suffering professional restrictions.</w:t>
      </w:r>
    </w:p>
    <w:p w14:paraId="5357CB2F" w14:textId="77777777" w:rsidR="00B03FFC" w:rsidRPr="00D16CDC" w:rsidRDefault="00B03FFC" w:rsidP="00B03FFC">
      <w:pPr>
        <w:jc w:val="both"/>
      </w:pPr>
    </w:p>
    <w:p w14:paraId="6A1AB19F" w14:textId="77777777" w:rsidR="00B03FFC" w:rsidRPr="00D16CDC" w:rsidRDefault="00B03FFC" w:rsidP="00B03FFC">
      <w:pPr>
        <w:jc w:val="both"/>
        <w:rPr>
          <w:rFonts w:cs="Calibri"/>
        </w:rPr>
      </w:pPr>
      <w:r w:rsidRPr="00D16CDC">
        <w:rPr>
          <w:rFonts w:cs="Calibri"/>
        </w:rPr>
        <w:t xml:space="preserve">In a further worrying development, in addition to those described above, we have been informed that police used heavy-handed treatment against lawyers defending clients in Sasna Tsrer cases on 28 June 2017. As a commotion took place in the yard outside Yerevan’s Avan and </w:t>
      </w:r>
      <w:proofErr w:type="gramStart"/>
      <w:r w:rsidRPr="00D16CDC">
        <w:rPr>
          <w:rFonts w:cs="Calibri"/>
        </w:rPr>
        <w:t>Nor</w:t>
      </w:r>
      <w:proofErr w:type="gramEnd"/>
      <w:r w:rsidRPr="00D16CDC">
        <w:rPr>
          <w:rFonts w:cs="Calibri"/>
        </w:rPr>
        <w:t xml:space="preserve"> Nork District Court, where hearings are held, police reportedly pushed l</w:t>
      </w:r>
      <w:r w:rsidRPr="00D16CDC">
        <w:t xml:space="preserve">awyers Lusineh Sahakyan, Inessa Petrosyan, Arayik Papikyan, Mushegh Shushanyn and Ara Zakaryan and restricted the freedom of movement of them and lawyer Tigran Hayrapetyan as these tried to intervene in support of a young man being taken to a police car. The incident was witnessed by journalists, relatives of the defendants and other individuals present in the courtyard. </w:t>
      </w:r>
      <w:r w:rsidRPr="00D16CDC">
        <w:rPr>
          <w:rFonts w:cs="Calibri"/>
        </w:rPr>
        <w:t>The same day, several defendants were also allegedly subjected to ill-treatment by police, including by being beaten in the court basement.</w:t>
      </w:r>
      <w:r w:rsidRPr="00D16CDC">
        <w:rPr>
          <w:rStyle w:val="EndnoteReference"/>
          <w:rFonts w:cs="Calibri"/>
        </w:rPr>
        <w:endnoteReference w:id="5"/>
      </w:r>
      <w:r w:rsidRPr="00D16CDC">
        <w:rPr>
          <w:rFonts w:cs="Calibri"/>
        </w:rPr>
        <w:t xml:space="preserve"> Investigations into the alleged ill-treatment of the defendants and lawyers were opened with a delay and are not known to have rendered any results so far. Under international and national law, the Armenian authorities have an obligation to ensure that any allegations of ill-treatment are investigated in a thorough and impartial manner and that those responsible are held accountable. </w:t>
      </w:r>
    </w:p>
    <w:p w14:paraId="1D1D2204" w14:textId="77777777" w:rsidR="00B03FFC" w:rsidRPr="00D16CDC" w:rsidRDefault="00B03FFC" w:rsidP="00B03FFC">
      <w:pPr>
        <w:jc w:val="both"/>
        <w:rPr>
          <w:rFonts w:cs="Calibri"/>
        </w:rPr>
      </w:pPr>
    </w:p>
    <w:p w14:paraId="01AEB399" w14:textId="77777777" w:rsidR="00B03FFC" w:rsidRPr="00D16CDC" w:rsidRDefault="00B03FFC" w:rsidP="00B03FFC">
      <w:pPr>
        <w:jc w:val="both"/>
        <w:rPr>
          <w:rFonts w:eastAsia="Times New Roman" w:cs="Calibri"/>
          <w:color w:val="26282A"/>
          <w:lang w:eastAsia="ru-RU"/>
        </w:rPr>
      </w:pPr>
      <w:r w:rsidRPr="00D16CDC">
        <w:rPr>
          <w:rFonts w:cs="Calibri"/>
        </w:rPr>
        <w:t>In view of the concerns outlined above, we</w:t>
      </w:r>
      <w:r w:rsidRPr="00D16CDC">
        <w:rPr>
          <w:rFonts w:eastAsia="Times New Roman" w:cs="Calibri"/>
          <w:color w:val="26282A"/>
          <w:lang w:eastAsia="ru-RU"/>
        </w:rPr>
        <w:t xml:space="preserve"> call on the authorities of Armenia to:</w:t>
      </w:r>
    </w:p>
    <w:p w14:paraId="262C9447" w14:textId="77777777" w:rsidR="00B03FFC" w:rsidRPr="00D16CDC" w:rsidRDefault="00B03FFC" w:rsidP="00B03FFC">
      <w:pPr>
        <w:jc w:val="both"/>
        <w:rPr>
          <w:rFonts w:eastAsia="Times New Roman" w:cs="Calibri"/>
          <w:color w:val="26282A"/>
          <w:lang w:eastAsia="ru-RU"/>
        </w:rPr>
      </w:pPr>
      <w:bookmarkStart w:id="2" w:name="_GoBack"/>
      <w:bookmarkEnd w:id="2"/>
    </w:p>
    <w:p w14:paraId="17413B45" w14:textId="77777777" w:rsidR="00B03FFC" w:rsidRPr="00D16CDC" w:rsidRDefault="00B03FFC" w:rsidP="00B03FFC">
      <w:pPr>
        <w:pStyle w:val="ListParagraph"/>
        <w:widowControl/>
        <w:numPr>
          <w:ilvl w:val="0"/>
          <w:numId w:val="1"/>
        </w:numPr>
        <w:autoSpaceDE/>
        <w:autoSpaceDN/>
        <w:contextualSpacing/>
        <w:jc w:val="both"/>
        <w:rPr>
          <w:rFonts w:ascii="Calibri" w:eastAsia="Times New Roman" w:hAnsi="Calibri" w:cs="Calibri"/>
          <w:color w:val="26282A"/>
          <w:lang w:eastAsia="ru-RU"/>
        </w:rPr>
      </w:pPr>
      <w:r w:rsidRPr="00D16CDC">
        <w:rPr>
          <w:rFonts w:ascii="Calibri" w:eastAsia="Times New Roman" w:hAnsi="Calibri" w:cs="Calibri"/>
          <w:color w:val="26282A"/>
          <w:lang w:eastAsia="ru-RU"/>
        </w:rPr>
        <w:t>Ensure that lawyers working on the Sasna Tsrer and other high-profile cases are not subjected to harassment and obstruction in the execution of their professional duties.</w:t>
      </w:r>
    </w:p>
    <w:p w14:paraId="3C8B7785" w14:textId="77777777" w:rsidR="00B03FFC" w:rsidRPr="00D16CDC" w:rsidRDefault="00B03FFC" w:rsidP="00B03FFC">
      <w:pPr>
        <w:pStyle w:val="ListParagraph"/>
        <w:widowControl/>
        <w:numPr>
          <w:ilvl w:val="0"/>
          <w:numId w:val="1"/>
        </w:numPr>
        <w:autoSpaceDE/>
        <w:autoSpaceDN/>
        <w:contextualSpacing/>
        <w:jc w:val="both"/>
        <w:rPr>
          <w:rFonts w:ascii="Calibri" w:eastAsia="Times New Roman" w:hAnsi="Calibri" w:cs="Calibri"/>
          <w:color w:val="26282A"/>
          <w:lang w:eastAsia="ru-RU"/>
        </w:rPr>
      </w:pPr>
      <w:r w:rsidRPr="00D16CDC">
        <w:rPr>
          <w:rFonts w:ascii="Calibri" w:eastAsia="Times New Roman" w:hAnsi="Calibri" w:cs="Calibri"/>
          <w:color w:val="26282A"/>
          <w:lang w:eastAsia="ru-RU"/>
        </w:rPr>
        <w:t>Ensure that lawyers working on these cases are not prevented from meeting and communicating in private with their clients, or from appearing before the court on behalf of their clients on arbitrary and unlawful grounds.</w:t>
      </w:r>
    </w:p>
    <w:p w14:paraId="4D74FEA9" w14:textId="77777777" w:rsidR="00B03FFC" w:rsidRPr="00D16CDC" w:rsidRDefault="00B03FFC" w:rsidP="00B03FFC">
      <w:pPr>
        <w:pStyle w:val="ListParagraph"/>
        <w:widowControl/>
        <w:numPr>
          <w:ilvl w:val="0"/>
          <w:numId w:val="1"/>
        </w:numPr>
        <w:autoSpaceDE/>
        <w:autoSpaceDN/>
        <w:contextualSpacing/>
        <w:jc w:val="both"/>
        <w:rPr>
          <w:rFonts w:ascii="Calibri" w:eastAsia="Times New Roman" w:hAnsi="Calibri" w:cs="Calibri"/>
          <w:color w:val="26282A"/>
          <w:lang w:eastAsia="ru-RU"/>
        </w:rPr>
      </w:pPr>
      <w:r w:rsidRPr="00D16CDC">
        <w:rPr>
          <w:rFonts w:ascii="Calibri" w:eastAsia="Times New Roman" w:hAnsi="Calibri" w:cs="Calibri"/>
          <w:color w:val="26282A"/>
          <w:lang w:eastAsia="ru-RU"/>
        </w:rPr>
        <w:t>Ensure that disciplinary or other sanctions are not initiated against lawyers because of their refusal to comply with arbitrary and unjustified requirements and restrictions, their exercise of their right to freedom of expression, or legitimate actions taken by them in accordance with their professional duties and ethics.</w:t>
      </w:r>
    </w:p>
    <w:p w14:paraId="1C5A6EF7" w14:textId="77777777" w:rsidR="00B03FFC" w:rsidRPr="00D16CDC" w:rsidRDefault="00B03FFC" w:rsidP="00B03FFC">
      <w:pPr>
        <w:pStyle w:val="ListParagraph"/>
        <w:widowControl/>
        <w:numPr>
          <w:ilvl w:val="0"/>
          <w:numId w:val="1"/>
        </w:numPr>
        <w:autoSpaceDE/>
        <w:autoSpaceDN/>
        <w:contextualSpacing/>
        <w:jc w:val="both"/>
        <w:rPr>
          <w:rFonts w:ascii="Calibri" w:eastAsia="Times New Roman" w:hAnsi="Calibri" w:cs="Calibri"/>
          <w:color w:val="26282A"/>
          <w:lang w:eastAsia="ru-RU"/>
        </w:rPr>
      </w:pPr>
      <w:r w:rsidRPr="00D16CDC">
        <w:rPr>
          <w:rFonts w:ascii="Calibri" w:eastAsia="Times New Roman" w:hAnsi="Calibri" w:cs="Calibri"/>
          <w:color w:val="26282A"/>
          <w:lang w:eastAsia="ru-RU"/>
        </w:rPr>
        <w:t>Carry out prompt, thorough and impartial investigations into the allegations of ill-treatment of lawyers and their defendants on 28 June 2017 and hold all officials responsible for ill-treatment accountable.</w:t>
      </w:r>
    </w:p>
    <w:p w14:paraId="545FBDD7" w14:textId="77777777" w:rsidR="00B03FFC" w:rsidRPr="00D16CDC" w:rsidRDefault="00B03FFC" w:rsidP="00B03FFC">
      <w:pPr>
        <w:pStyle w:val="ListParagraph"/>
        <w:widowControl/>
        <w:numPr>
          <w:ilvl w:val="0"/>
          <w:numId w:val="1"/>
        </w:numPr>
        <w:autoSpaceDE/>
        <w:autoSpaceDN/>
        <w:contextualSpacing/>
        <w:jc w:val="both"/>
        <w:rPr>
          <w:rFonts w:ascii="Calibri" w:eastAsia="Times New Roman" w:hAnsi="Calibri" w:cs="Calibri"/>
          <w:color w:val="26282A"/>
          <w:lang w:eastAsia="ru-RU"/>
        </w:rPr>
      </w:pPr>
      <w:r w:rsidRPr="00D16CDC">
        <w:rPr>
          <w:rFonts w:ascii="Calibri" w:eastAsia="Times New Roman" w:hAnsi="Calibri" w:cs="Calibri"/>
          <w:color w:val="26282A"/>
          <w:lang w:eastAsia="ru-RU"/>
        </w:rPr>
        <w:t>Uphold international fair trial standards during all court proceedings, including those in the cases against individuals tried over the July 2016 events involving the Sasna Tsrer group and other high-profile cases.</w:t>
      </w:r>
    </w:p>
    <w:p w14:paraId="7802BF36" w14:textId="77777777" w:rsidR="00B03FFC" w:rsidRPr="00D16CDC" w:rsidRDefault="00B03FFC" w:rsidP="00B03FFC">
      <w:pPr>
        <w:pStyle w:val="ListParagraph"/>
        <w:jc w:val="both"/>
        <w:rPr>
          <w:rFonts w:ascii="Calibri" w:eastAsia="Times New Roman" w:hAnsi="Calibri" w:cs="Calibri"/>
          <w:color w:val="26282A"/>
          <w:lang w:eastAsia="ru-RU"/>
        </w:rPr>
      </w:pPr>
    </w:p>
    <w:p w14:paraId="1C6E8038" w14:textId="77777777" w:rsidR="00B03FFC" w:rsidRPr="00D16CDC" w:rsidRDefault="00B03FFC" w:rsidP="00B03FFC">
      <w:pPr>
        <w:pStyle w:val="ListParagraph"/>
        <w:spacing w:after="120"/>
        <w:jc w:val="both"/>
        <w:rPr>
          <w:rFonts w:ascii="Calibri" w:eastAsia="Times New Roman" w:hAnsi="Calibri" w:cs="Calibri"/>
          <w:color w:val="26282A"/>
          <w:lang w:eastAsia="ru-RU"/>
        </w:rPr>
      </w:pPr>
      <w:r w:rsidRPr="00D16CDC">
        <w:rPr>
          <w:rFonts w:ascii="Calibri" w:eastAsia="Times New Roman" w:hAnsi="Calibri" w:cs="Calibri"/>
          <w:color w:val="26282A"/>
          <w:lang w:eastAsia="ru-RU"/>
        </w:rPr>
        <w:t>We also call on the Chamber of Advocates to:</w:t>
      </w:r>
    </w:p>
    <w:p w14:paraId="563992B9" w14:textId="77777777" w:rsidR="00B03FFC" w:rsidRPr="00D16CDC" w:rsidRDefault="00B03FFC" w:rsidP="00B03FFC">
      <w:pPr>
        <w:pStyle w:val="ListParagraph"/>
        <w:widowControl/>
        <w:numPr>
          <w:ilvl w:val="0"/>
          <w:numId w:val="2"/>
        </w:numPr>
        <w:autoSpaceDE/>
        <w:autoSpaceDN/>
        <w:contextualSpacing/>
        <w:jc w:val="both"/>
        <w:rPr>
          <w:rFonts w:ascii="Calibri" w:eastAsia="Times New Roman" w:hAnsi="Calibri" w:cs="Calibri"/>
          <w:color w:val="26282A"/>
          <w:lang w:eastAsia="ru-RU"/>
        </w:rPr>
      </w:pPr>
      <w:r w:rsidRPr="00D16CDC">
        <w:rPr>
          <w:rFonts w:ascii="Calibri" w:eastAsia="Times New Roman" w:hAnsi="Calibri" w:cs="Calibri"/>
          <w:color w:val="26282A"/>
          <w:lang w:eastAsia="ru-RU"/>
        </w:rPr>
        <w:t xml:space="preserve">Refrain from conducting disciplinary proceedings and imposing disciplinary measures against lawyers on any other grounds than those involving apparent violations of the Law on the Bar and the Code of Conduct of Advocates. </w:t>
      </w:r>
    </w:p>
    <w:p w14:paraId="79BEADC0" w14:textId="77777777" w:rsidR="00B03FFC" w:rsidRPr="00D16CDC" w:rsidRDefault="00B03FFC" w:rsidP="00B03FFC">
      <w:pPr>
        <w:pStyle w:val="ListParagraph"/>
        <w:jc w:val="both"/>
        <w:rPr>
          <w:rFonts w:ascii="Calibri" w:hAnsi="Calibri" w:cs="Calibri"/>
        </w:rPr>
      </w:pPr>
    </w:p>
    <w:p w14:paraId="15997B87" w14:textId="77777777" w:rsidR="00B03FFC" w:rsidRDefault="00B03FFC" w:rsidP="00B03FFC">
      <w:pPr>
        <w:spacing w:before="240"/>
        <w:rPr>
          <w:rFonts w:cs="Calibri"/>
          <w:b/>
        </w:rPr>
      </w:pPr>
    </w:p>
    <w:p w14:paraId="3C24A370" w14:textId="77777777" w:rsidR="00B03FFC" w:rsidRDefault="00B03FFC" w:rsidP="00B03FFC">
      <w:pPr>
        <w:spacing w:before="240"/>
        <w:rPr>
          <w:rFonts w:cs="Calibri"/>
          <w:b/>
        </w:rPr>
      </w:pPr>
    </w:p>
    <w:p w14:paraId="231CAA32" w14:textId="77777777" w:rsidR="00B03FFC" w:rsidRPr="00D16CDC" w:rsidRDefault="00B03FFC" w:rsidP="00B03FFC">
      <w:pPr>
        <w:spacing w:before="240"/>
        <w:rPr>
          <w:rFonts w:cs="Calibri"/>
          <w:b/>
        </w:rPr>
      </w:pPr>
      <w:r w:rsidRPr="00D16CDC">
        <w:rPr>
          <w:rFonts w:cs="Calibri"/>
          <w:b/>
        </w:rPr>
        <w:lastRenderedPageBreak/>
        <w:t>Signed by the following CSP members:</w:t>
      </w:r>
    </w:p>
    <w:p w14:paraId="1DB9F4FE" w14:textId="77777777" w:rsidR="00B03FFC" w:rsidRPr="00D16CDC" w:rsidRDefault="00B03FFC" w:rsidP="00B03FFC"/>
    <w:p w14:paraId="01F869ED"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Albanian Helsinki Committee</w:t>
      </w:r>
    </w:p>
    <w:p w14:paraId="32045EAC"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Association UMDPL (Ukraine)</w:t>
      </w:r>
    </w:p>
    <w:p w14:paraId="6CB0C174"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Austrian Helsinki Association </w:t>
      </w:r>
    </w:p>
    <w:p w14:paraId="53FA6F3C"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 xml:space="preserve">Belarussian Helsinki Committee </w:t>
      </w:r>
    </w:p>
    <w:p w14:paraId="498A2072"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Bir Duino-(Kyrgystan)</w:t>
      </w:r>
    </w:p>
    <w:p w14:paraId="530B9279"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Bulgarian Helsinki Committe</w:t>
      </w:r>
    </w:p>
    <w:p w14:paraId="7DFF1CB8"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Center for Civil Liberties (Ukraine) </w:t>
      </w:r>
    </w:p>
    <w:p w14:paraId="3EFDCD35"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Center for the Development of Democracy and Human Rights</w:t>
      </w:r>
    </w:p>
    <w:p w14:paraId="29B64897"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Citizens' Watch (Russia)</w:t>
      </w:r>
    </w:p>
    <w:p w14:paraId="510B96A1"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 xml:space="preserve">Fair Trails </w:t>
      </w:r>
    </w:p>
    <w:p w14:paraId="449E8D28"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Georgian Center for Rehabilitation for Torture Victims</w:t>
      </w:r>
    </w:p>
    <w:p w14:paraId="119A1C3D"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Helsinki Association for Human Rights (Armenia)</w:t>
      </w:r>
    </w:p>
    <w:p w14:paraId="603A086E"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Helsinki Citizens’ Assembly Vanadzor (Armenia)</w:t>
      </w:r>
    </w:p>
    <w:p w14:paraId="2D624D9C"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Helsinki Committee of Armenia</w:t>
      </w:r>
    </w:p>
    <w:p w14:paraId="2F4837DC"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Helsinki Foundation for Human Rights (Poland)</w:t>
      </w:r>
    </w:p>
    <w:p w14:paraId="0093B2C4"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Human Rights Center (Azerbaijan)</w:t>
      </w:r>
    </w:p>
    <w:p w14:paraId="3D3DB363"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Human Rights Information Center (Ukraine)</w:t>
      </w:r>
    </w:p>
    <w:p w14:paraId="0317C0ED"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Human Rights Matter ((Germany)</w:t>
      </w:r>
    </w:p>
    <w:p w14:paraId="4150E883"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Human Rights Monitoring Institute (Lithuania)</w:t>
      </w:r>
    </w:p>
    <w:p w14:paraId="57F4CE12"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Humanrights.ch (Switzerland)</w:t>
      </w:r>
    </w:p>
    <w:p w14:paraId="65926945"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Institute for Reporters' Freedom and Safety (Azerbaijan)</w:t>
      </w:r>
    </w:p>
    <w:p w14:paraId="3CDD6903"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 xml:space="preserve">International Partnership for Human Rights </w:t>
      </w:r>
    </w:p>
    <w:p w14:paraId="151275FA"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Kazakhstan International Bureau for Human Rights and the Rule of Law </w:t>
      </w:r>
    </w:p>
    <w:p w14:paraId="0044C227"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Legal policy Research Center ((Kazakhstan)</w:t>
      </w:r>
    </w:p>
    <w:p w14:paraId="68D90CD6"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Libereco - Partnership for Human Rights (Germany/Switzerland)</w:t>
      </w:r>
    </w:p>
    <w:p w14:paraId="69CE5032"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Macedonian Helsinki Committee</w:t>
      </w:r>
    </w:p>
    <w:p w14:paraId="2AE79051"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Moscow Helsinki Group (Russia)</w:t>
      </w:r>
    </w:p>
    <w:p w14:paraId="10983A76"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Netherlands Helsinki Committee </w:t>
      </w:r>
    </w:p>
    <w:p w14:paraId="3B077BD6"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Promo LEX Association (Moldova)</w:t>
      </w:r>
    </w:p>
    <w:p w14:paraId="292698B6"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Protection of Rights without Borders</w:t>
      </w:r>
    </w:p>
    <w:p w14:paraId="48BD3B09"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Public Association “Dignity” (Kazakhstan)</w:t>
      </w:r>
    </w:p>
    <w:p w14:paraId="1E8E9599"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Public foundation "Golos svobody" ((Kyrgyzstan)</w:t>
      </w:r>
    </w:p>
    <w:p w14:paraId="5F0DD371"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Public Verdict Foundation (Russia)</w:t>
      </w:r>
    </w:p>
    <w:p w14:paraId="30756D1E"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Regional Center for Strategic Studies (Azerbaijan)</w:t>
      </w:r>
    </w:p>
    <w:p w14:paraId="23E7F449"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SOLIDARUS (Russia)</w:t>
      </w:r>
    </w:p>
    <w:p w14:paraId="14936CF0"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The Belarusian Human Rights House</w:t>
      </w:r>
    </w:p>
    <w:p w14:paraId="76C6F38C"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The International Rehabilitation Council for Torture Victims</w:t>
      </w:r>
    </w:p>
    <w:p w14:paraId="497A432F"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The Kosova Rehabilitation Center for Torture Victims (Kosovo)</w:t>
      </w:r>
    </w:p>
    <w:p w14:paraId="72704FB1" w14:textId="77777777" w:rsidR="00B03FFC" w:rsidRPr="00D16CDC" w:rsidRDefault="00B03FFC" w:rsidP="00B03FFC">
      <w:pPr>
        <w:pStyle w:val="ListParagraph"/>
        <w:widowControl/>
        <w:numPr>
          <w:ilvl w:val="0"/>
          <w:numId w:val="3"/>
        </w:numPr>
        <w:autoSpaceDE/>
        <w:autoSpaceDN/>
        <w:contextualSpacing/>
        <w:rPr>
          <w:rFonts w:ascii="Calibri" w:hAnsi="Calibri"/>
        </w:rPr>
      </w:pPr>
      <w:r w:rsidRPr="00D16CDC">
        <w:rPr>
          <w:rFonts w:ascii="Calibri" w:hAnsi="Calibri"/>
        </w:rPr>
        <w:t>The Norwegian Helsinki Committee</w:t>
      </w:r>
    </w:p>
    <w:p w14:paraId="59AE2F89" w14:textId="77777777" w:rsidR="00B03FFC" w:rsidRPr="00D16CDC" w:rsidRDefault="00B03FFC" w:rsidP="00B03FFC"/>
    <w:p w14:paraId="0A628CE4" w14:textId="77777777" w:rsidR="00B03FFC" w:rsidRPr="00D16CDC" w:rsidRDefault="00B03FFC" w:rsidP="00B03FFC"/>
    <w:p w14:paraId="01C3AC72" w14:textId="77777777" w:rsidR="00B03FFC" w:rsidRPr="00D16CDC" w:rsidRDefault="00B03FFC" w:rsidP="00B03FFC"/>
    <w:p w14:paraId="4ABB4BEF" w14:textId="77777777" w:rsidR="00B03FFC" w:rsidRPr="00D16CDC" w:rsidRDefault="00B03FFC" w:rsidP="00B03FFC">
      <w:pPr>
        <w:rPr>
          <w:rFonts w:cs="Calibri"/>
        </w:rPr>
      </w:pPr>
    </w:p>
    <w:p w14:paraId="0E5CE459" w14:textId="77777777" w:rsidR="00B03FFC" w:rsidRPr="00D16CDC" w:rsidRDefault="00B03FFC" w:rsidP="00B03FFC">
      <w:pPr>
        <w:rPr>
          <w:rFonts w:cs="Calibri"/>
        </w:rPr>
      </w:pPr>
    </w:p>
    <w:p w14:paraId="49DD5AD8" w14:textId="77777777" w:rsidR="00296625" w:rsidRDefault="00296625" w:rsidP="008F1949">
      <w:pPr>
        <w:pStyle w:val="BodyText"/>
        <w:ind w:right="-142"/>
        <w:rPr>
          <w:sz w:val="26"/>
        </w:rPr>
      </w:pPr>
    </w:p>
    <w:p w14:paraId="4BF2DD1F" w14:textId="77777777" w:rsidR="00296625" w:rsidRDefault="00296625" w:rsidP="008F1949">
      <w:pPr>
        <w:pStyle w:val="BodyText"/>
        <w:ind w:right="-142"/>
        <w:rPr>
          <w:sz w:val="26"/>
        </w:rPr>
      </w:pPr>
    </w:p>
    <w:p w14:paraId="3F19C122" w14:textId="77777777" w:rsidR="00296625" w:rsidRDefault="00296625" w:rsidP="008F1949">
      <w:pPr>
        <w:pStyle w:val="BodyText"/>
        <w:ind w:right="-142"/>
        <w:rPr>
          <w:sz w:val="26"/>
        </w:rPr>
      </w:pPr>
    </w:p>
    <w:p w14:paraId="28B75141" w14:textId="77777777" w:rsidR="00DA66CA" w:rsidRDefault="00DA66CA">
      <w:pPr>
        <w:rPr>
          <w:rFonts w:asciiTheme="minorHAnsi" w:eastAsiaTheme="minorHAnsi" w:hAnsiTheme="minorHAnsi" w:cstheme="minorBidi"/>
        </w:rPr>
      </w:pPr>
    </w:p>
    <w:sectPr w:rsidR="00DA66CA" w:rsidSect="006815DC">
      <w:headerReference w:type="default" r:id="rId10"/>
      <w:footerReference w:type="even" r:id="rId11"/>
      <w:footerReference w:type="default" r:id="rId12"/>
      <w:type w:val="continuous"/>
      <w:pgSz w:w="11901" w:h="16840"/>
      <w:pgMar w:top="1843" w:right="1418" w:bottom="1701" w:left="1418" w:header="72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nne Sunder-Plassmann" w:date="2017-08-01T09:34:00Z" w:initials="AS">
    <w:p w14:paraId="1CB0F09E" w14:textId="77777777" w:rsidR="00B03FFC" w:rsidRDefault="00B03FFC" w:rsidP="00B03FFC">
      <w:pPr>
        <w:pStyle w:val="CommentText"/>
      </w:pPr>
      <w:r>
        <w:rPr>
          <w:rStyle w:val="CommentReference"/>
        </w:rPr>
        <w:annotationRef/>
      </w:r>
      <w:r>
        <w:t>Possibly add “the capital city of”</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B0F09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3EBFA" w14:textId="77777777" w:rsidR="00671D7F" w:rsidRDefault="00671D7F" w:rsidP="00DA66CA">
      <w:r>
        <w:separator/>
      </w:r>
    </w:p>
  </w:endnote>
  <w:endnote w:type="continuationSeparator" w:id="0">
    <w:p w14:paraId="20F01FA4" w14:textId="77777777" w:rsidR="00671D7F" w:rsidRDefault="00671D7F" w:rsidP="00DA66CA">
      <w:r>
        <w:continuationSeparator/>
      </w:r>
    </w:p>
  </w:endnote>
  <w:endnote w:id="1">
    <w:p w14:paraId="4B0B9F69" w14:textId="77777777" w:rsidR="00B03FFC" w:rsidRPr="00602D82" w:rsidRDefault="00B03FFC" w:rsidP="00B03FFC">
      <w:pPr>
        <w:pStyle w:val="EndnoteText"/>
        <w:rPr>
          <w:sz w:val="18"/>
          <w:szCs w:val="18"/>
        </w:rPr>
      </w:pPr>
      <w:r w:rsidRPr="00602D82">
        <w:rPr>
          <w:rStyle w:val="EndnoteReference"/>
          <w:sz w:val="18"/>
          <w:szCs w:val="18"/>
        </w:rPr>
        <w:endnoteRef/>
      </w:r>
      <w:r w:rsidRPr="00602D82">
        <w:rPr>
          <w:sz w:val="18"/>
          <w:szCs w:val="18"/>
        </w:rPr>
        <w:t xml:space="preserve"> See more in report </w:t>
      </w:r>
      <w:r>
        <w:rPr>
          <w:sz w:val="18"/>
          <w:szCs w:val="18"/>
          <w:lang w:val="en-US"/>
        </w:rPr>
        <w:t xml:space="preserve">issued </w:t>
      </w:r>
      <w:r w:rsidRPr="00602D82">
        <w:rPr>
          <w:sz w:val="18"/>
          <w:szCs w:val="18"/>
        </w:rPr>
        <w:t>by International Partnership for Human Rights (IPHR) on th</w:t>
      </w:r>
      <w:r>
        <w:rPr>
          <w:sz w:val="18"/>
          <w:szCs w:val="18"/>
          <w:lang w:val="en-US"/>
        </w:rPr>
        <w:t>e basis of the findings of a fact-finding mission</w:t>
      </w:r>
      <w:r w:rsidRPr="00602D82">
        <w:rPr>
          <w:sz w:val="18"/>
          <w:szCs w:val="18"/>
        </w:rPr>
        <w:t>, at http://iphronline.org/report-armenians-awaiting-accountability-police-violence-20160908.html</w:t>
      </w:r>
    </w:p>
  </w:endnote>
  <w:endnote w:id="2">
    <w:p w14:paraId="17EF59F6" w14:textId="77777777" w:rsidR="00B03FFC" w:rsidRPr="00602D82" w:rsidRDefault="00B03FFC" w:rsidP="00B03FFC">
      <w:pPr>
        <w:pStyle w:val="EndnoteText"/>
        <w:rPr>
          <w:sz w:val="18"/>
          <w:szCs w:val="18"/>
        </w:rPr>
      </w:pPr>
      <w:r w:rsidRPr="00602D82">
        <w:rPr>
          <w:rStyle w:val="EndnoteReference"/>
          <w:sz w:val="18"/>
          <w:szCs w:val="18"/>
        </w:rPr>
        <w:endnoteRef/>
      </w:r>
      <w:r w:rsidRPr="00602D82">
        <w:rPr>
          <w:sz w:val="18"/>
          <w:szCs w:val="18"/>
        </w:rPr>
        <w:t xml:space="preserve"> </w:t>
      </w:r>
      <w:r w:rsidRPr="00602D82">
        <w:rPr>
          <w:sz w:val="18"/>
          <w:szCs w:val="18"/>
        </w:rPr>
        <w:t xml:space="preserve">As reported at </w:t>
      </w:r>
      <w:hyperlink r:id="rId1" w:history="1">
        <w:r w:rsidRPr="00602D82">
          <w:rPr>
            <w:rStyle w:val="Hyperlink"/>
            <w:sz w:val="18"/>
            <w:szCs w:val="18"/>
          </w:rPr>
          <w:t>http://armenianweekly.com/2017/06/08/members-of-sasna-tsrer-go-on-trial-in-yerevan/</w:t>
        </w:r>
      </w:hyperlink>
    </w:p>
  </w:endnote>
  <w:endnote w:id="3">
    <w:p w14:paraId="545AEB89" w14:textId="77777777" w:rsidR="00B03FFC" w:rsidRPr="003037DD" w:rsidRDefault="00B03FFC" w:rsidP="00B03FFC">
      <w:pPr>
        <w:pStyle w:val="EndnoteText"/>
        <w:rPr>
          <w:sz w:val="18"/>
          <w:szCs w:val="18"/>
        </w:rPr>
      </w:pPr>
      <w:r w:rsidRPr="00602D82">
        <w:rPr>
          <w:rStyle w:val="EndnoteReference"/>
          <w:sz w:val="18"/>
          <w:szCs w:val="18"/>
        </w:rPr>
        <w:endnoteRef/>
      </w:r>
      <w:r w:rsidRPr="00602D82">
        <w:rPr>
          <w:sz w:val="18"/>
          <w:szCs w:val="18"/>
        </w:rPr>
        <w:t xml:space="preserve"> </w:t>
      </w:r>
      <w:r w:rsidRPr="00602D82">
        <w:rPr>
          <w:sz w:val="18"/>
          <w:szCs w:val="18"/>
        </w:rPr>
        <w:t xml:space="preserve">The concerns presented in this statement are based on </w:t>
      </w:r>
      <w:r w:rsidRPr="003037DD">
        <w:rPr>
          <w:sz w:val="18"/>
          <w:szCs w:val="18"/>
        </w:rPr>
        <w:t xml:space="preserve">information from the Helsinki Association of Armenia and Protection of Rights without Borders. For more information on these issues, see also information note prepared by Protection of Rights without Borders, available in English at: </w:t>
      </w:r>
      <w:hyperlink r:id="rId2" w:tgtFrame="_blank" w:history="1">
        <w:r w:rsidRPr="003037DD">
          <w:rPr>
            <w:rFonts w:eastAsia="Times New Roman"/>
            <w:sz w:val="18"/>
            <w:szCs w:val="18"/>
          </w:rPr>
          <w:t>http://prwb.am/new/2017/07/24/%D5%BF%D5%A5%D5%B2%D5%A5%D5%AF%D5%A1%D5%B6%D6%84-%D5%BD%D5%A1%D5%BD%D5%B6%D5%A1-%D5%AE%D5%BC%D5%A5%D6%80-%D5%AD%D5%B4%D5%A2%D5%AB-%D5%A3%D5%B8%D6%80%D5%AE%D5%B8%D5%B2%D5%B8%D6%82%D5%A9/</w:t>
        </w:r>
      </w:hyperlink>
    </w:p>
  </w:endnote>
  <w:endnote w:id="4">
    <w:p w14:paraId="3F0AD750" w14:textId="77777777" w:rsidR="00B03FFC" w:rsidRPr="003037DD" w:rsidRDefault="00B03FFC" w:rsidP="00B03FFC">
      <w:pPr>
        <w:pStyle w:val="EndnoteText"/>
        <w:rPr>
          <w:sz w:val="18"/>
          <w:szCs w:val="18"/>
        </w:rPr>
      </w:pPr>
      <w:r w:rsidRPr="003037DD">
        <w:rPr>
          <w:rStyle w:val="EndnoteReference"/>
          <w:sz w:val="18"/>
          <w:szCs w:val="18"/>
        </w:rPr>
        <w:endnoteRef/>
      </w:r>
      <w:r w:rsidRPr="003037DD">
        <w:rPr>
          <w:sz w:val="18"/>
          <w:szCs w:val="18"/>
        </w:rPr>
        <w:t xml:space="preserve"> </w:t>
      </w:r>
      <w:r w:rsidRPr="003037DD">
        <w:rPr>
          <w:sz w:val="18"/>
          <w:szCs w:val="18"/>
        </w:rPr>
        <w:t>These</w:t>
      </w:r>
      <w:r>
        <w:rPr>
          <w:sz w:val="18"/>
          <w:szCs w:val="18"/>
          <w:lang w:val="en-US"/>
        </w:rPr>
        <w:t xml:space="preserve"> principles</w:t>
      </w:r>
      <w:r w:rsidRPr="003037DD">
        <w:rPr>
          <w:sz w:val="18"/>
          <w:szCs w:val="18"/>
        </w:rPr>
        <w:t xml:space="preserve"> are available at: http://www.ohchr.org/EN/ProfessionalInterest/Pages/RoleOfLawyers.aspx</w:t>
      </w:r>
    </w:p>
  </w:endnote>
  <w:endnote w:id="5">
    <w:p w14:paraId="1DF2EB29" w14:textId="77777777" w:rsidR="00B03FFC" w:rsidRPr="003037DD" w:rsidRDefault="00B03FFC" w:rsidP="00B03FFC">
      <w:pPr>
        <w:pStyle w:val="NormalWeb"/>
        <w:spacing w:before="0" w:beforeAutospacing="0" w:after="0" w:afterAutospacing="0"/>
        <w:rPr>
          <w:rFonts w:ascii="Calibri" w:hAnsi="Calibri"/>
          <w:sz w:val="18"/>
          <w:szCs w:val="18"/>
        </w:rPr>
      </w:pPr>
      <w:r w:rsidRPr="003037DD">
        <w:rPr>
          <w:rStyle w:val="EndnoteReference"/>
          <w:rFonts w:ascii="Calibri" w:hAnsi="Calibri"/>
          <w:sz w:val="18"/>
          <w:szCs w:val="18"/>
        </w:rPr>
        <w:endnoteRef/>
      </w:r>
      <w:r w:rsidRPr="003037DD">
        <w:rPr>
          <w:rFonts w:ascii="Calibri" w:hAnsi="Calibri"/>
          <w:sz w:val="18"/>
          <w:szCs w:val="18"/>
        </w:rPr>
        <w:t xml:space="preserve"> See more in statement issued by Human Rights Watch, at https://www.hrw.org/news/2017/07/09/armenia-ill-treatment-reports-mar-high-profile-trial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T Sans">
    <w:panose1 w:val="020B0503020203020204"/>
    <w:charset w:val="CC"/>
    <w:family w:val="auto"/>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Langdon">
    <w:altName w:val="Times New Roman"/>
    <w:charset w:val="00"/>
    <w:family w:val="auto"/>
    <w:pitch w:val="variable"/>
    <w:sig w:usb0="00000001" w:usb1="10000000" w:usb2="00000000" w:usb3="00000000" w:csb0="00000009"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9FC9F" w14:textId="77777777" w:rsidR="003139ED" w:rsidRDefault="003139ED" w:rsidP="009569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AD1496" w14:textId="77777777" w:rsidR="003139ED" w:rsidRDefault="003139ED" w:rsidP="009569C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322CC" w14:textId="77777777" w:rsidR="003139ED" w:rsidRPr="00F93AF0" w:rsidRDefault="003139ED" w:rsidP="00F21AED">
    <w:pPr>
      <w:pStyle w:val="Footer"/>
      <w:framePr w:w="983" w:h="1599" w:hRule="exact" w:wrap="around" w:vAnchor="text" w:hAnchor="page" w:x="10659" w:y="-664"/>
      <w:rPr>
        <w:rStyle w:val="PageNumber"/>
        <w:rFonts w:ascii="Langdon" w:hAnsi="Langdon" w:cs="Arial"/>
        <w:b/>
        <w:color w:val="D9D9D9" w:themeColor="background1" w:themeShade="D9"/>
        <w:sz w:val="136"/>
        <w:szCs w:val="136"/>
      </w:rPr>
    </w:pPr>
    <w:r w:rsidRPr="00F93AF0">
      <w:rPr>
        <w:rStyle w:val="PageNumber"/>
        <w:rFonts w:ascii="Langdon" w:hAnsi="Langdon" w:cs="Arial"/>
        <w:b/>
        <w:color w:val="D9D9D9" w:themeColor="background1" w:themeShade="D9"/>
        <w:sz w:val="136"/>
        <w:szCs w:val="136"/>
      </w:rPr>
      <w:fldChar w:fldCharType="begin"/>
    </w:r>
    <w:r w:rsidRPr="00F93AF0">
      <w:rPr>
        <w:rStyle w:val="PageNumber"/>
        <w:rFonts w:ascii="Langdon" w:hAnsi="Langdon" w:cs="Arial"/>
        <w:b/>
        <w:color w:val="D9D9D9" w:themeColor="background1" w:themeShade="D9"/>
        <w:sz w:val="136"/>
        <w:szCs w:val="136"/>
      </w:rPr>
      <w:instrText xml:space="preserve">PAGE  </w:instrText>
    </w:r>
    <w:r w:rsidRPr="00F93AF0">
      <w:rPr>
        <w:rStyle w:val="PageNumber"/>
        <w:rFonts w:ascii="Langdon" w:hAnsi="Langdon" w:cs="Arial"/>
        <w:b/>
        <w:color w:val="D9D9D9" w:themeColor="background1" w:themeShade="D9"/>
        <w:sz w:val="136"/>
        <w:szCs w:val="136"/>
      </w:rPr>
      <w:fldChar w:fldCharType="separate"/>
    </w:r>
    <w:r w:rsidR="00EA793E">
      <w:rPr>
        <w:rStyle w:val="PageNumber"/>
        <w:rFonts w:ascii="Langdon" w:hAnsi="Langdon" w:cs="Arial"/>
        <w:b/>
        <w:noProof/>
        <w:color w:val="D9D9D9" w:themeColor="background1" w:themeShade="D9"/>
        <w:sz w:val="136"/>
        <w:szCs w:val="136"/>
      </w:rPr>
      <w:t>1</w:t>
    </w:r>
    <w:r w:rsidRPr="00F93AF0">
      <w:rPr>
        <w:rStyle w:val="PageNumber"/>
        <w:rFonts w:ascii="Langdon" w:hAnsi="Langdon" w:cs="Arial"/>
        <w:b/>
        <w:color w:val="D9D9D9" w:themeColor="background1" w:themeShade="D9"/>
        <w:sz w:val="136"/>
        <w:szCs w:val="136"/>
      </w:rPr>
      <w:fldChar w:fldCharType="end"/>
    </w:r>
  </w:p>
  <w:p w14:paraId="253AE771" w14:textId="68908588" w:rsidR="003139ED" w:rsidRDefault="00C435DA" w:rsidP="009569CB">
    <w:pPr>
      <w:pStyle w:val="Footer"/>
      <w:ind w:right="360"/>
    </w:pPr>
    <w:r>
      <w:rPr>
        <w:noProof/>
      </w:rPr>
      <w:drawing>
        <wp:anchor distT="0" distB="0" distL="114300" distR="114300" simplePos="0" relativeHeight="251659264" behindDoc="1" locked="0" layoutInCell="1" allowOverlap="1" wp14:anchorId="3DF9A9FE" wp14:editId="1FA40FB2">
          <wp:simplePos x="0" y="0"/>
          <wp:positionH relativeFrom="column">
            <wp:posOffset>-838200</wp:posOffset>
          </wp:positionH>
          <wp:positionV relativeFrom="paragraph">
            <wp:posOffset>-198120</wp:posOffset>
          </wp:positionV>
          <wp:extent cx="7335790" cy="800062"/>
          <wp:effectExtent l="0" t="0" r="0" b="0"/>
          <wp:wrapNone/>
          <wp:docPr id="3" name="Imagen 3" descr="Macintosh HD:Users:Mersik:Desktop:AYA:CSP Recommendations and Declaration final with marguins:Footer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rsik:Desktop:AYA:CSP Recommendations and Declaration final with marguins:Footer_S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5790" cy="80006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9A65C" w14:textId="77777777" w:rsidR="00671D7F" w:rsidRDefault="00671D7F" w:rsidP="00DA66CA">
      <w:r>
        <w:separator/>
      </w:r>
    </w:p>
  </w:footnote>
  <w:footnote w:type="continuationSeparator" w:id="0">
    <w:p w14:paraId="77EDFC26" w14:textId="77777777" w:rsidR="00671D7F" w:rsidRDefault="00671D7F" w:rsidP="00DA66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791B5" w14:textId="513BF526" w:rsidR="003139ED" w:rsidRDefault="00C435DA">
    <w:pPr>
      <w:pStyle w:val="Header"/>
    </w:pPr>
    <w:r>
      <w:rPr>
        <w:noProof/>
      </w:rPr>
      <w:drawing>
        <wp:anchor distT="0" distB="0" distL="114300" distR="114300" simplePos="0" relativeHeight="251660288" behindDoc="1" locked="0" layoutInCell="1" allowOverlap="1" wp14:anchorId="6A274DBC" wp14:editId="0E4B5B68">
          <wp:simplePos x="0" y="0"/>
          <wp:positionH relativeFrom="column">
            <wp:posOffset>-908050</wp:posOffset>
          </wp:positionH>
          <wp:positionV relativeFrom="paragraph">
            <wp:posOffset>-429895</wp:posOffset>
          </wp:positionV>
          <wp:extent cx="1605280" cy="1180465"/>
          <wp:effectExtent l="0" t="0" r="0" b="0"/>
          <wp:wrapNone/>
          <wp:docPr id="5" name="Imagen 5" descr="Macintosh HD:Users:Mersik:Desktop:AYA:Background_footers:CSP-agenda-final_logo_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ersik:Desktop:AYA:Background_footers:CSP-agenda-final_logo_head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280" cy="11804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E68CD79" wp14:editId="630E899F">
          <wp:simplePos x="0" y="0"/>
          <wp:positionH relativeFrom="column">
            <wp:posOffset>-908050</wp:posOffset>
          </wp:positionH>
          <wp:positionV relativeFrom="paragraph">
            <wp:posOffset>-497589</wp:posOffset>
          </wp:positionV>
          <wp:extent cx="7613340" cy="10764904"/>
          <wp:effectExtent l="0" t="0" r="0" b="0"/>
          <wp:wrapNone/>
          <wp:docPr id="2" name="Imagen 2" descr="Macintosh HD:Users:Mersik:Desktop:AYA:CSP-agenda-final:Background_footers_headers:Background_w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rsik:Desktop:AYA:CSP-agenda-final:Background_footers_headers:Background_w_lin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3659" cy="107653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4D27F2"/>
    <w:multiLevelType w:val="hybridMultilevel"/>
    <w:tmpl w:val="5340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BC0459"/>
    <w:multiLevelType w:val="hybridMultilevel"/>
    <w:tmpl w:val="415254F4"/>
    <w:lvl w:ilvl="0" w:tplc="732E39E6">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D9684F"/>
    <w:multiLevelType w:val="hybridMultilevel"/>
    <w:tmpl w:val="B5EA62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AD5"/>
    <w:rsid w:val="000C3AD5"/>
    <w:rsid w:val="0026781B"/>
    <w:rsid w:val="00296625"/>
    <w:rsid w:val="002F7A80"/>
    <w:rsid w:val="003139ED"/>
    <w:rsid w:val="003E46A1"/>
    <w:rsid w:val="00671D7F"/>
    <w:rsid w:val="006815DC"/>
    <w:rsid w:val="007503C9"/>
    <w:rsid w:val="008F1949"/>
    <w:rsid w:val="00910026"/>
    <w:rsid w:val="00925DC3"/>
    <w:rsid w:val="009569CB"/>
    <w:rsid w:val="00A43196"/>
    <w:rsid w:val="00B03FFC"/>
    <w:rsid w:val="00C435DA"/>
    <w:rsid w:val="00C725AC"/>
    <w:rsid w:val="00DA66CA"/>
    <w:rsid w:val="00E76C4E"/>
    <w:rsid w:val="00EA793E"/>
    <w:rsid w:val="00F21AED"/>
    <w:rsid w:val="00F93AF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F341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T Sans" w:eastAsia="PT Sans" w:hAnsi="PT Sans" w:cs="PT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style>
  <w:style w:type="paragraph" w:styleId="ListParagraph">
    <w:name w:val="List Paragraph"/>
    <w:aliases w:val="Bullets"/>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DA66CA"/>
    <w:pPr>
      <w:tabs>
        <w:tab w:val="center" w:pos="4252"/>
        <w:tab w:val="right" w:pos="8504"/>
      </w:tabs>
    </w:pPr>
  </w:style>
  <w:style w:type="character" w:customStyle="1" w:styleId="FooterChar">
    <w:name w:val="Footer Char"/>
    <w:basedOn w:val="DefaultParagraphFont"/>
    <w:link w:val="Footer"/>
    <w:uiPriority w:val="99"/>
    <w:rsid w:val="00DA66CA"/>
    <w:rPr>
      <w:rFonts w:ascii="PT Sans" w:eastAsia="PT Sans" w:hAnsi="PT Sans" w:cs="PT Sans"/>
    </w:rPr>
  </w:style>
  <w:style w:type="character" w:styleId="PageNumber">
    <w:name w:val="page number"/>
    <w:basedOn w:val="DefaultParagraphFont"/>
    <w:uiPriority w:val="99"/>
    <w:semiHidden/>
    <w:unhideWhenUsed/>
    <w:rsid w:val="00DA66CA"/>
  </w:style>
  <w:style w:type="paragraph" w:styleId="Header">
    <w:name w:val="header"/>
    <w:basedOn w:val="Normal"/>
    <w:link w:val="HeaderChar"/>
    <w:uiPriority w:val="99"/>
    <w:unhideWhenUsed/>
    <w:rsid w:val="00DA66CA"/>
    <w:pPr>
      <w:tabs>
        <w:tab w:val="center" w:pos="4252"/>
        <w:tab w:val="right" w:pos="8504"/>
      </w:tabs>
    </w:pPr>
  </w:style>
  <w:style w:type="character" w:customStyle="1" w:styleId="HeaderChar">
    <w:name w:val="Header Char"/>
    <w:basedOn w:val="DefaultParagraphFont"/>
    <w:link w:val="Header"/>
    <w:uiPriority w:val="99"/>
    <w:rsid w:val="00DA66CA"/>
    <w:rPr>
      <w:rFonts w:ascii="PT Sans" w:eastAsia="PT Sans" w:hAnsi="PT Sans" w:cs="PT Sans"/>
    </w:rPr>
  </w:style>
  <w:style w:type="paragraph" w:styleId="BalloonText">
    <w:name w:val="Balloon Text"/>
    <w:basedOn w:val="Normal"/>
    <w:link w:val="BalloonTextChar"/>
    <w:uiPriority w:val="99"/>
    <w:semiHidden/>
    <w:unhideWhenUsed/>
    <w:rsid w:val="00DA66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66CA"/>
    <w:rPr>
      <w:rFonts w:ascii="Lucida Grande" w:eastAsia="PT Sans" w:hAnsi="Lucida Grande" w:cs="Lucida Grande"/>
      <w:sz w:val="18"/>
      <w:szCs w:val="18"/>
    </w:rPr>
  </w:style>
  <w:style w:type="paragraph" w:customStyle="1" w:styleId="Title1">
    <w:name w:val="Title 1"/>
    <w:basedOn w:val="Normal"/>
    <w:uiPriority w:val="1"/>
    <w:qFormat/>
    <w:rsid w:val="00F21AED"/>
    <w:pPr>
      <w:tabs>
        <w:tab w:val="left" w:pos="9214"/>
        <w:tab w:val="left" w:pos="9781"/>
      </w:tabs>
      <w:spacing w:before="77" w:line="235" w:lineRule="auto"/>
      <w:jc w:val="center"/>
    </w:pPr>
    <w:rPr>
      <w:b/>
      <w:color w:val="282A2A"/>
      <w:sz w:val="23"/>
    </w:rPr>
  </w:style>
  <w:style w:type="character" w:customStyle="1" w:styleId="PageNumber1">
    <w:name w:val="Page Number1"/>
    <w:basedOn w:val="PageNumber"/>
    <w:uiPriority w:val="1"/>
    <w:qFormat/>
    <w:rsid w:val="00F21AED"/>
    <w:rPr>
      <w:rFonts w:ascii="Langdon" w:hAnsi="Langdon" w:cs="Arial"/>
      <w:b/>
      <w:color w:val="D9D9D9" w:themeColor="background1" w:themeShade="D9"/>
      <w:sz w:val="136"/>
      <w:szCs w:val="136"/>
    </w:rPr>
  </w:style>
  <w:style w:type="character" w:customStyle="1" w:styleId="BodyTextChar">
    <w:name w:val="Body Text Char"/>
    <w:basedOn w:val="DefaultParagraphFont"/>
    <w:link w:val="BodyText"/>
    <w:uiPriority w:val="1"/>
    <w:rsid w:val="0026781B"/>
    <w:rPr>
      <w:rFonts w:ascii="PT Sans" w:eastAsia="PT Sans" w:hAnsi="PT Sans" w:cs="PT Sans"/>
    </w:rPr>
  </w:style>
  <w:style w:type="character" w:styleId="Hyperlink">
    <w:name w:val="Hyperlink"/>
    <w:uiPriority w:val="99"/>
    <w:unhideWhenUsed/>
    <w:rsid w:val="00B03FFC"/>
    <w:rPr>
      <w:color w:val="0000FF"/>
      <w:u w:val="single"/>
    </w:rPr>
  </w:style>
  <w:style w:type="paragraph" w:styleId="EndnoteText">
    <w:name w:val="endnote text"/>
    <w:basedOn w:val="Normal"/>
    <w:link w:val="EndnoteTextChar"/>
    <w:uiPriority w:val="99"/>
    <w:semiHidden/>
    <w:unhideWhenUsed/>
    <w:rsid w:val="00B03FFC"/>
    <w:pPr>
      <w:widowControl/>
      <w:autoSpaceDE/>
      <w:autoSpaceDN/>
    </w:pPr>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uiPriority w:val="99"/>
    <w:semiHidden/>
    <w:rsid w:val="00B03FFC"/>
    <w:rPr>
      <w:rFonts w:ascii="Calibri" w:eastAsia="Calibri" w:hAnsi="Calibri" w:cs="Times New Roman"/>
      <w:sz w:val="20"/>
      <w:szCs w:val="20"/>
      <w:lang w:val="x-none" w:eastAsia="x-none"/>
    </w:rPr>
  </w:style>
  <w:style w:type="character" w:styleId="EndnoteReference">
    <w:name w:val="endnote reference"/>
    <w:uiPriority w:val="99"/>
    <w:semiHidden/>
    <w:unhideWhenUsed/>
    <w:rsid w:val="00B03FFC"/>
    <w:rPr>
      <w:vertAlign w:val="superscript"/>
    </w:rPr>
  </w:style>
  <w:style w:type="paragraph" w:styleId="NormalWeb">
    <w:name w:val="Normal (Web)"/>
    <w:basedOn w:val="Normal"/>
    <w:uiPriority w:val="99"/>
    <w:unhideWhenUsed/>
    <w:rsid w:val="00B03FF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B03FFC"/>
    <w:rPr>
      <w:sz w:val="18"/>
      <w:szCs w:val="18"/>
    </w:rPr>
  </w:style>
  <w:style w:type="paragraph" w:styleId="CommentText">
    <w:name w:val="annotation text"/>
    <w:basedOn w:val="Normal"/>
    <w:link w:val="CommentTextChar"/>
    <w:uiPriority w:val="99"/>
    <w:semiHidden/>
    <w:unhideWhenUsed/>
    <w:rsid w:val="00B03FFC"/>
    <w:pPr>
      <w:widowControl/>
      <w:autoSpaceDE/>
      <w:autoSpaceDN/>
      <w:spacing w:after="160"/>
    </w:pPr>
    <w:rPr>
      <w:rFonts w:ascii="Calibri" w:eastAsia="Calibri" w:hAnsi="Calibri" w:cs="Times New Roman"/>
      <w:sz w:val="24"/>
      <w:szCs w:val="24"/>
      <w:lang w:val="x-none" w:eastAsia="x-none"/>
    </w:rPr>
  </w:style>
  <w:style w:type="character" w:customStyle="1" w:styleId="CommentTextChar">
    <w:name w:val="Comment Text Char"/>
    <w:basedOn w:val="DefaultParagraphFont"/>
    <w:link w:val="CommentText"/>
    <w:uiPriority w:val="99"/>
    <w:semiHidden/>
    <w:rsid w:val="00B03FFC"/>
    <w:rPr>
      <w:rFonts w:ascii="Calibri" w:eastAsia="Calibri" w:hAnsi="Calibri"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10"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armenianweekly.com/2017/06/08/members-of-sasna-tsrer-go-on-trial-in-yerevan/" TargetMode="External"/><Relationship Id="rId2" Type="http://schemas.openxmlformats.org/officeDocument/2006/relationships/hyperlink" Target="http://prwb.am/new/2017/07/24/%D5%BF%D5%A5%D5%B2%D5%A5%D5%AF%D5%A1%D5%B6%D6%84-%D5%BD%D5%A1%D5%BD%D5%B6%D5%A1-%D5%AE%D5%BC%D5%A5%D6%80-%D5%AD%D5%B4%D5%A2%D5%AB-%D5%A3%D5%B8%D6%80%D5%AE%D5%B8%D5%B2%D5%B8%D6%82%D5%A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61BC1-7FCF-6847-86FB-AD7DA4F22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1742</Words>
  <Characters>9935</Characters>
  <Application>Microsoft Macintosh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CSP-statement final</vt:lpstr>
    </vt:vector>
  </TitlesOfParts>
  <Company>f</Company>
  <LinksUpToDate>false</LinksUpToDate>
  <CharactersWithSpaces>11654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CSP-statement final</dc:title>
  <dc:creator>Yevgeniy Zhovtis</dc:creator>
  <cp:lastModifiedBy>Maryna Zastavna</cp:lastModifiedBy>
  <cp:revision>2</cp:revision>
  <dcterms:created xsi:type="dcterms:W3CDTF">2017-08-09T11:26:00Z</dcterms:created>
  <dcterms:modified xsi:type="dcterms:W3CDTF">2017-08-09T11:26:00Z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Creator">
    <vt:lpwstr>Adobe Illustrator CC 2017 (Macintosh)</vt:lpwstr>
  </property>
  <property fmtid="{D5CDD505-2E9C-101B-9397-08002B2CF9AE}" pid="4" name="LastSaved">
    <vt:filetime>2017-01-17T00:00:00Z</vt:filetime>
  </property>
</Properties>
</file>